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江西省重点中学协作体2012届高三第二次联考理科综合能力测试物理试题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&lt;p&gt;如图所示，AOB是由某种透明物质制成的&lt;sub&gt;[700d8e9a56891d8b.gif]&lt;/sub&gt;圆柱体横截面（O.为圆心），透明物质折射率为&lt;sub&gt;[6b3190dc2e147788.gif]&lt;/sub&gt;.今有一束平行光以45&lt;sup&gt;o&lt;/sup&gt;的入射角射向柱体的OA平面，这些光线中有一部分不能从柱体的AB面上射出，设凡射到OB面的光线全部被吸收，也不考虑OA面的反射，求圆柱AB面上能射出光线的部分占AB表面的几分之几？  &lt;/p&gt;        &lt;p&gt;[9ce52e83f351eb54.gif]&lt;/p&gt;                                                        &lt;p&gt;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/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